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933E" w14:textId="77777777" w:rsidR="00E05F8E" w:rsidRDefault="00E05F8E" w:rsidP="003C6D3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A2ED71E" wp14:editId="51FF73F6">
            <wp:extent cx="1219200" cy="1143000"/>
            <wp:effectExtent l="0" t="0" r="0" b="0"/>
            <wp:docPr id="1" name="Picture 1" descr="BCPS_round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CPS_round_colo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7F5F" w14:textId="77777777" w:rsidR="00E05F8E" w:rsidRPr="00E05F8E" w:rsidRDefault="00E05F8E" w:rsidP="003C6D39">
      <w:pPr>
        <w:jc w:val="center"/>
        <w:rPr>
          <w:sz w:val="24"/>
          <w:szCs w:val="24"/>
        </w:rPr>
      </w:pPr>
      <w:r w:rsidRPr="00E05F8E">
        <w:rPr>
          <w:sz w:val="24"/>
          <w:szCs w:val="24"/>
        </w:rPr>
        <w:t>Building Excellence</w:t>
      </w:r>
    </w:p>
    <w:p w14:paraId="33385526" w14:textId="77777777" w:rsidR="00E05F8E" w:rsidRPr="001D3D60" w:rsidRDefault="00E05F8E" w:rsidP="001D3D60">
      <w:pPr>
        <w:jc w:val="center"/>
        <w:rPr>
          <w:sz w:val="24"/>
          <w:szCs w:val="24"/>
        </w:rPr>
      </w:pPr>
      <w:r w:rsidRPr="00E05F8E">
        <w:rPr>
          <w:sz w:val="24"/>
          <w:szCs w:val="24"/>
        </w:rPr>
        <w:t>Health Services</w:t>
      </w:r>
    </w:p>
    <w:p w14:paraId="1327738A" w14:textId="77777777" w:rsidR="00E05F8E" w:rsidRDefault="00E05F8E" w:rsidP="001D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Sick Day Exclusions</w:t>
      </w:r>
    </w:p>
    <w:p w14:paraId="6B883BB7" w14:textId="05909E99" w:rsidR="00E05F8E" w:rsidRPr="001D3D60" w:rsidRDefault="00E05F8E" w:rsidP="00E05F8E">
      <w:r w:rsidRPr="001D3D60">
        <w:t xml:space="preserve">As a parent, there are times when you are unsure whether </w:t>
      </w:r>
      <w:r w:rsidR="00C079FC">
        <w:t xml:space="preserve">your child should attend school and </w:t>
      </w:r>
      <w:r w:rsidR="00C079FC" w:rsidRPr="001D3D60">
        <w:t>when</w:t>
      </w:r>
      <w:r w:rsidRPr="001D3D60">
        <w:t xml:space="preserve"> to seek medical care.</w:t>
      </w:r>
      <w:r w:rsidR="00C079FC">
        <w:t xml:space="preserve"> </w:t>
      </w:r>
      <w:r w:rsidRPr="001D3D60">
        <w:t xml:space="preserve"> </w:t>
      </w:r>
      <w:proofErr w:type="gramStart"/>
      <w:r w:rsidRPr="001D3D60">
        <w:t>As a whole, school-aged</w:t>
      </w:r>
      <w:proofErr w:type="gramEnd"/>
      <w:r w:rsidRPr="001D3D60">
        <w:t xml:space="preserve"> children and youth are a healthy, robust group. A student can expect to get 2 to 9 colds per year.  </w:t>
      </w:r>
    </w:p>
    <w:p w14:paraId="6467B95D" w14:textId="77777777" w:rsidR="00E05F8E" w:rsidRPr="001D3D60" w:rsidRDefault="00E05F8E" w:rsidP="001D3D60">
      <w:r w:rsidRPr="001D3D60">
        <w:t xml:space="preserve">This list serves as a guideline in managing students and is not inclusive.  All students will be evaluated on a </w:t>
      </w:r>
      <w:proofErr w:type="gramStart"/>
      <w:r w:rsidRPr="001D3D60">
        <w:t>case by case</w:t>
      </w:r>
      <w:proofErr w:type="gramEnd"/>
      <w:r w:rsidRPr="001D3D60">
        <w:t xml:space="preserve"> basis by the school n</w:t>
      </w:r>
      <w:r w:rsidR="00054871">
        <w:t>urse.  The decision to send</w:t>
      </w:r>
      <w:r w:rsidRPr="001D3D60">
        <w:t xml:space="preserve"> your child</w:t>
      </w:r>
      <w:r w:rsidR="00054871">
        <w:t xml:space="preserve"> home</w:t>
      </w:r>
      <w:r w:rsidRPr="001D3D60">
        <w:t xml:space="preserve"> will be made on an individual basis based on the school nurse’s professional judgement. The goal is to keep our students safe and healthy.</w:t>
      </w:r>
    </w:p>
    <w:p w14:paraId="7A3F158D" w14:textId="77777777" w:rsidR="003C6D39" w:rsidRPr="001D3D60" w:rsidRDefault="003C6D39" w:rsidP="001D3D60">
      <w:pPr>
        <w:jc w:val="center"/>
        <w:rPr>
          <w:b/>
          <w:sz w:val="36"/>
          <w:szCs w:val="36"/>
        </w:rPr>
      </w:pPr>
      <w:r w:rsidRPr="003C6D39">
        <w:rPr>
          <w:b/>
          <w:sz w:val="36"/>
          <w:szCs w:val="36"/>
        </w:rPr>
        <w:t>When to keep your child home</w:t>
      </w:r>
      <w:r>
        <w:rPr>
          <w:b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D39" w14:paraId="3F6D12C6" w14:textId="77777777" w:rsidTr="003C6D39">
        <w:tc>
          <w:tcPr>
            <w:tcW w:w="4675" w:type="dxa"/>
          </w:tcPr>
          <w:p w14:paraId="612AAA39" w14:textId="77777777" w:rsidR="003C6D39" w:rsidRDefault="003C6D39" w:rsidP="003C6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</w:t>
            </w:r>
          </w:p>
        </w:tc>
        <w:tc>
          <w:tcPr>
            <w:tcW w:w="4675" w:type="dxa"/>
          </w:tcPr>
          <w:p w14:paraId="3CD12B0B" w14:textId="77777777" w:rsidR="003C6D39" w:rsidRDefault="004B18A9" w:rsidP="004B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must be at home?</w:t>
            </w:r>
          </w:p>
        </w:tc>
      </w:tr>
      <w:tr w:rsidR="003C6D39" w14:paraId="7A6B22FF" w14:textId="77777777" w:rsidTr="003C6D39">
        <w:tc>
          <w:tcPr>
            <w:tcW w:w="4675" w:type="dxa"/>
          </w:tcPr>
          <w:p w14:paraId="5675FE3C" w14:textId="77777777" w:rsidR="003C6D39" w:rsidRDefault="003C6D39" w:rsidP="003C6D39">
            <w:pPr>
              <w:jc w:val="center"/>
              <w:rPr>
                <w:b/>
                <w:sz w:val="24"/>
                <w:szCs w:val="24"/>
              </w:rPr>
            </w:pPr>
            <w:r w:rsidRPr="003C6D39">
              <w:rPr>
                <w:b/>
                <w:sz w:val="24"/>
                <w:szCs w:val="24"/>
              </w:rPr>
              <w:t>Fever</w:t>
            </w:r>
            <w:r>
              <w:rPr>
                <w:b/>
                <w:sz w:val="24"/>
                <w:szCs w:val="24"/>
              </w:rPr>
              <w:t>:</w:t>
            </w:r>
          </w:p>
          <w:p w14:paraId="07A72881" w14:textId="77777777" w:rsidR="003C6D39" w:rsidRPr="003C6D39" w:rsidRDefault="003C6D39" w:rsidP="003C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Elevated temperature of </w:t>
            </w:r>
            <w:r w:rsidR="004B18A9">
              <w:rPr>
                <w:sz w:val="24"/>
                <w:szCs w:val="24"/>
              </w:rPr>
              <w:t>100.4 F or greater.</w:t>
            </w:r>
          </w:p>
        </w:tc>
        <w:tc>
          <w:tcPr>
            <w:tcW w:w="4675" w:type="dxa"/>
          </w:tcPr>
          <w:p w14:paraId="32C99523" w14:textId="31E2F2D6" w:rsidR="003C6D39" w:rsidRPr="004B18A9" w:rsidRDefault="004B18A9" w:rsidP="003C6D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YES-</w:t>
            </w:r>
            <w:r>
              <w:rPr>
                <w:sz w:val="24"/>
                <w:szCs w:val="24"/>
              </w:rPr>
              <w:t xml:space="preserve"> when accompanied by behavior changes or other symptoms of illness, </w:t>
            </w:r>
            <w:proofErr w:type="gramStart"/>
            <w:r w:rsidR="00064128">
              <w:rPr>
                <w:sz w:val="24"/>
                <w:szCs w:val="24"/>
              </w:rPr>
              <w:t>i.e.</w:t>
            </w:r>
            <w:proofErr w:type="gramEnd"/>
            <w:r w:rsidR="00064128">
              <w:rPr>
                <w:sz w:val="24"/>
                <w:szCs w:val="24"/>
              </w:rPr>
              <w:t xml:space="preserve"> rash, sore throat, stomach </w:t>
            </w:r>
            <w:r>
              <w:rPr>
                <w:sz w:val="24"/>
                <w:szCs w:val="24"/>
              </w:rPr>
              <w:t>ache/vomiting, dia</w:t>
            </w:r>
            <w:r w:rsidR="00064128">
              <w:rPr>
                <w:sz w:val="24"/>
                <w:szCs w:val="24"/>
              </w:rPr>
              <w:t>rrhea, coughing, headache, ear</w:t>
            </w:r>
            <w:r>
              <w:rPr>
                <w:sz w:val="24"/>
                <w:szCs w:val="24"/>
              </w:rPr>
              <w:t>ache.  The student should be fever free</w:t>
            </w:r>
            <w:r w:rsidR="00534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without the use of fever-reducing medicines, for a complete school day (</w:t>
            </w:r>
            <w:r w:rsidR="005343BD">
              <w:rPr>
                <w:sz w:val="24"/>
                <w:szCs w:val="24"/>
              </w:rPr>
              <w:t xml:space="preserve">48 </w:t>
            </w:r>
            <w:r>
              <w:rPr>
                <w:sz w:val="24"/>
                <w:szCs w:val="24"/>
              </w:rPr>
              <w:t>Hours) before returning to school</w:t>
            </w:r>
          </w:p>
        </w:tc>
      </w:tr>
      <w:tr w:rsidR="003C6D39" w14:paraId="21F27D53" w14:textId="77777777" w:rsidTr="003C6D39">
        <w:tc>
          <w:tcPr>
            <w:tcW w:w="4675" w:type="dxa"/>
          </w:tcPr>
          <w:p w14:paraId="7B2A952E" w14:textId="77777777" w:rsidR="003C6D39" w:rsidRDefault="004B18A9" w:rsidP="004B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Vomiting:</w:t>
            </w:r>
          </w:p>
          <w:p w14:paraId="2BAA125A" w14:textId="2EC774A9" w:rsidR="004B18A9" w:rsidRPr="004B18A9" w:rsidRDefault="004B18A9" w:rsidP="004B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o</w:t>
            </w:r>
            <w:r w:rsidR="00D93B6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more episodes of vomiting in the past 24 hours.</w:t>
            </w:r>
          </w:p>
        </w:tc>
        <w:tc>
          <w:tcPr>
            <w:tcW w:w="4675" w:type="dxa"/>
          </w:tcPr>
          <w:p w14:paraId="368EDE4A" w14:textId="77777777" w:rsidR="003C6D39" w:rsidRPr="004B18A9" w:rsidRDefault="004B18A9" w:rsidP="003C6D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YES-</w:t>
            </w:r>
            <w:r>
              <w:rPr>
                <w:sz w:val="24"/>
                <w:szCs w:val="24"/>
              </w:rPr>
              <w:t>until vomiting resolves (no further vomiting for 24 hours).  Student should be observed for other signs of illness and for dehydration.</w:t>
            </w:r>
          </w:p>
        </w:tc>
      </w:tr>
      <w:tr w:rsidR="003C6D39" w14:paraId="36AE5863" w14:textId="77777777" w:rsidTr="003C6D39">
        <w:tc>
          <w:tcPr>
            <w:tcW w:w="4675" w:type="dxa"/>
          </w:tcPr>
          <w:p w14:paraId="6EBE94B8" w14:textId="77777777" w:rsidR="003C6D39" w:rsidRDefault="004B18A9" w:rsidP="004B1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Diarrhea:</w:t>
            </w:r>
          </w:p>
          <w:p w14:paraId="205C4032" w14:textId="77777777" w:rsidR="004B18A9" w:rsidRPr="004B18A9" w:rsidRDefault="004B18A9" w:rsidP="004B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Frequent, </w:t>
            </w:r>
            <w:proofErr w:type="spellStart"/>
            <w:r>
              <w:rPr>
                <w:sz w:val="24"/>
                <w:szCs w:val="24"/>
              </w:rPr>
              <w:t>loose</w:t>
            </w:r>
            <w:proofErr w:type="spellEnd"/>
            <w:r>
              <w:rPr>
                <w:sz w:val="24"/>
                <w:szCs w:val="24"/>
              </w:rPr>
              <w:t xml:space="preserve"> or watery stools compared to child’s normal pattern; not caused by diet or medication.</w:t>
            </w:r>
          </w:p>
        </w:tc>
        <w:tc>
          <w:tcPr>
            <w:tcW w:w="4675" w:type="dxa"/>
          </w:tcPr>
          <w:p w14:paraId="0E1780A1" w14:textId="3A72E6DA" w:rsidR="003C6D39" w:rsidRPr="004B18A9" w:rsidRDefault="004B18A9" w:rsidP="003C6D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YES-</w:t>
            </w:r>
            <w:r>
              <w:rPr>
                <w:sz w:val="24"/>
                <w:szCs w:val="24"/>
              </w:rPr>
              <w:t xml:space="preserve">if the child looks or acts </w:t>
            </w:r>
            <w:proofErr w:type="gramStart"/>
            <w:r>
              <w:rPr>
                <w:sz w:val="24"/>
                <w:szCs w:val="24"/>
              </w:rPr>
              <w:t>ill;</w:t>
            </w:r>
            <w:proofErr w:type="gramEnd"/>
            <w:r>
              <w:rPr>
                <w:sz w:val="24"/>
                <w:szCs w:val="24"/>
              </w:rPr>
              <w:t xml:space="preserve"> if the child has diarrhea with temperature elevation of 100</w:t>
            </w:r>
          </w:p>
        </w:tc>
      </w:tr>
    </w:tbl>
    <w:p w14:paraId="5B353C5B" w14:textId="377706FC" w:rsidR="00CF550C" w:rsidRDefault="00CF550C" w:rsidP="003C6D39">
      <w:pPr>
        <w:rPr>
          <w:sz w:val="24"/>
          <w:szCs w:val="24"/>
        </w:rPr>
      </w:pPr>
    </w:p>
    <w:p w14:paraId="6C53D32D" w14:textId="66D9592F" w:rsidR="005343BD" w:rsidRDefault="005343BD" w:rsidP="003C6D39">
      <w:pPr>
        <w:rPr>
          <w:sz w:val="24"/>
          <w:szCs w:val="24"/>
        </w:rPr>
      </w:pPr>
    </w:p>
    <w:p w14:paraId="3B3F5962" w14:textId="77777777" w:rsidR="005343BD" w:rsidRDefault="005343BD" w:rsidP="003C6D3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65F3" w14:paraId="3A9FFC47" w14:textId="77777777" w:rsidTr="005365F3">
        <w:tc>
          <w:tcPr>
            <w:tcW w:w="4675" w:type="dxa"/>
          </w:tcPr>
          <w:p w14:paraId="782D347A" w14:textId="77777777" w:rsidR="005365F3" w:rsidRDefault="005365F3" w:rsidP="0053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Conjunctivitis:</w:t>
            </w:r>
          </w:p>
          <w:p w14:paraId="79432421" w14:textId="77777777" w:rsidR="005365F3" w:rsidRPr="005365F3" w:rsidRDefault="005365F3" w:rsidP="0053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Pink/reddish color to white part of the eye and thick discharge may be yellow or greenish in color.</w:t>
            </w:r>
          </w:p>
        </w:tc>
        <w:tc>
          <w:tcPr>
            <w:tcW w:w="4675" w:type="dxa"/>
          </w:tcPr>
          <w:p w14:paraId="1FCDF0EA" w14:textId="77777777" w:rsidR="005365F3" w:rsidRPr="005365F3" w:rsidRDefault="005365F3" w:rsidP="003C6D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YES-</w:t>
            </w:r>
            <w:r w:rsidR="00377ED8">
              <w:rPr>
                <w:b/>
                <w:sz w:val="24"/>
                <w:szCs w:val="24"/>
              </w:rPr>
              <w:t xml:space="preserve"> </w:t>
            </w:r>
            <w:r w:rsidR="00377ED8">
              <w:rPr>
                <w:sz w:val="24"/>
                <w:szCs w:val="24"/>
              </w:rPr>
              <w:t xml:space="preserve">until </w:t>
            </w:r>
            <w:r>
              <w:rPr>
                <w:sz w:val="24"/>
                <w:szCs w:val="24"/>
              </w:rPr>
              <w:t xml:space="preserve">discharge and signs of infection have cleared or completion of </w:t>
            </w:r>
            <w:proofErr w:type="gramStart"/>
            <w:r>
              <w:rPr>
                <w:sz w:val="24"/>
                <w:szCs w:val="24"/>
              </w:rPr>
              <w:t>24 hour</w:t>
            </w:r>
            <w:proofErr w:type="gramEnd"/>
            <w:r>
              <w:rPr>
                <w:sz w:val="24"/>
                <w:szCs w:val="24"/>
              </w:rPr>
              <w:t xml:space="preserve"> treatment with ophthalmic solution prescribed by a health care provider.</w:t>
            </w:r>
          </w:p>
        </w:tc>
      </w:tr>
      <w:tr w:rsidR="005365F3" w14:paraId="2CCF8A13" w14:textId="77777777" w:rsidTr="005365F3">
        <w:tc>
          <w:tcPr>
            <w:tcW w:w="4675" w:type="dxa"/>
          </w:tcPr>
          <w:p w14:paraId="269DFD45" w14:textId="77777777" w:rsidR="005365F3" w:rsidRDefault="005365F3" w:rsidP="0053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Impetigo:</w:t>
            </w:r>
          </w:p>
          <w:p w14:paraId="160A12DD" w14:textId="77777777" w:rsidR="005365F3" w:rsidRPr="005365F3" w:rsidRDefault="005365F3" w:rsidP="0053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Blister like lesions which develop into pustules. May “weep” and crust.</w:t>
            </w:r>
          </w:p>
        </w:tc>
        <w:tc>
          <w:tcPr>
            <w:tcW w:w="4675" w:type="dxa"/>
          </w:tcPr>
          <w:p w14:paraId="1B82771D" w14:textId="77777777" w:rsidR="005365F3" w:rsidRDefault="005365F3" w:rsidP="003C6D39">
            <w:pPr>
              <w:rPr>
                <w:sz w:val="24"/>
                <w:szCs w:val="24"/>
              </w:rPr>
            </w:pPr>
            <w:r w:rsidRPr="005365F3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for 24 hours after medical treatment initiated. </w:t>
            </w:r>
          </w:p>
          <w:p w14:paraId="77204A4E" w14:textId="77777777" w:rsidR="005365F3" w:rsidRPr="005365F3" w:rsidRDefault="005365F3" w:rsidP="003C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Lesions must be covered for school attendance.</w:t>
            </w:r>
          </w:p>
        </w:tc>
      </w:tr>
      <w:tr w:rsidR="005365F3" w14:paraId="050E1D14" w14:textId="77777777" w:rsidTr="005365F3">
        <w:tc>
          <w:tcPr>
            <w:tcW w:w="4675" w:type="dxa"/>
          </w:tcPr>
          <w:p w14:paraId="30F0B892" w14:textId="77777777" w:rsidR="005365F3" w:rsidRDefault="005365F3" w:rsidP="0053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Ringworm</w:t>
            </w:r>
          </w:p>
          <w:p w14:paraId="1DE57F53" w14:textId="77777777" w:rsidR="000A097A" w:rsidRPr="000A097A" w:rsidRDefault="000A097A" w:rsidP="000A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common skin infection, usually resulting in red, itching, scaly circular rash. </w:t>
            </w:r>
          </w:p>
        </w:tc>
        <w:tc>
          <w:tcPr>
            <w:tcW w:w="4675" w:type="dxa"/>
          </w:tcPr>
          <w:p w14:paraId="0852552B" w14:textId="77777777" w:rsidR="005365F3" w:rsidRDefault="005365F3" w:rsidP="003C6D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NO-</w:t>
            </w:r>
            <w:r>
              <w:rPr>
                <w:sz w:val="24"/>
                <w:szCs w:val="24"/>
              </w:rPr>
              <w:t>Treatment initiated</w:t>
            </w:r>
          </w:p>
          <w:p w14:paraId="599A0712" w14:textId="77777777" w:rsidR="005365F3" w:rsidRPr="005365F3" w:rsidRDefault="005365F3" w:rsidP="003C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Lesions must be covered for school attendance.</w:t>
            </w:r>
          </w:p>
        </w:tc>
      </w:tr>
      <w:tr w:rsidR="00634F51" w14:paraId="67DCB2B1" w14:textId="77777777" w:rsidTr="005365F3">
        <w:tc>
          <w:tcPr>
            <w:tcW w:w="4675" w:type="dxa"/>
          </w:tcPr>
          <w:p w14:paraId="097E2C16" w14:textId="77777777" w:rsidR="00634F51" w:rsidRDefault="00634F51" w:rsidP="0053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Rash with Fever:</w:t>
            </w:r>
          </w:p>
          <w:p w14:paraId="486DF4B9" w14:textId="77777777" w:rsidR="00634F51" w:rsidRPr="00634F51" w:rsidRDefault="00634F51" w:rsidP="0053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new rash accompanied by a fever.</w:t>
            </w:r>
          </w:p>
          <w:p w14:paraId="3D5247E8" w14:textId="77777777" w:rsidR="00634F51" w:rsidRDefault="00634F51" w:rsidP="005365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89D5BF0" w14:textId="77777777" w:rsidR="00634F51" w:rsidRPr="00634F51" w:rsidRDefault="00634F51" w:rsidP="00634F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Yes- </w:t>
            </w:r>
            <w:r>
              <w:rPr>
                <w:sz w:val="24"/>
                <w:szCs w:val="24"/>
              </w:rPr>
              <w:t xml:space="preserve">seek medical advice.  May return after rash goes away or clearance given by a health care provider. </w:t>
            </w:r>
          </w:p>
        </w:tc>
      </w:tr>
      <w:tr w:rsidR="00634F51" w14:paraId="4C0D0B2B" w14:textId="77777777" w:rsidTr="005365F3">
        <w:tc>
          <w:tcPr>
            <w:tcW w:w="4675" w:type="dxa"/>
          </w:tcPr>
          <w:p w14:paraId="18C02C76" w14:textId="77777777" w:rsidR="00634F51" w:rsidRDefault="00634F51" w:rsidP="0053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Wound</w:t>
            </w:r>
            <w:r w:rsidR="003722AF">
              <w:rPr>
                <w:b/>
                <w:sz w:val="24"/>
                <w:szCs w:val="24"/>
              </w:rPr>
              <w:t>:</w:t>
            </w:r>
          </w:p>
          <w:p w14:paraId="1F765D85" w14:textId="77777777" w:rsidR="003722AF" w:rsidRPr="003722AF" w:rsidRDefault="003722AF" w:rsidP="00372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open wound, draining or pustule lesion on the skin.</w:t>
            </w:r>
          </w:p>
        </w:tc>
        <w:tc>
          <w:tcPr>
            <w:tcW w:w="4675" w:type="dxa"/>
          </w:tcPr>
          <w:p w14:paraId="1AEE8911" w14:textId="77777777" w:rsidR="00634F51" w:rsidRDefault="00E61885" w:rsidP="00634F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Yes- </w:t>
            </w:r>
            <w:r>
              <w:rPr>
                <w:sz w:val="24"/>
                <w:szCs w:val="24"/>
              </w:rPr>
              <w:t>If a</w:t>
            </w:r>
            <w:r w:rsidR="00634F51">
              <w:rPr>
                <w:sz w:val="24"/>
                <w:szCs w:val="24"/>
              </w:rPr>
              <w:t xml:space="preserve">ny drainage from a sore that cannot </w:t>
            </w:r>
            <w:r w:rsidR="00054871">
              <w:rPr>
                <w:sz w:val="24"/>
                <w:szCs w:val="24"/>
              </w:rPr>
              <w:t>be contained within a bandage or</w:t>
            </w:r>
            <w:r w:rsidR="00634F51">
              <w:rPr>
                <w:sz w:val="24"/>
                <w:szCs w:val="24"/>
              </w:rPr>
              <w:t xml:space="preserve"> sore</w:t>
            </w:r>
            <w:r w:rsidR="00054871">
              <w:rPr>
                <w:sz w:val="24"/>
                <w:szCs w:val="24"/>
              </w:rPr>
              <w:t>s that are increasing in size or</w:t>
            </w:r>
            <w:r w:rsidR="00634F51">
              <w:rPr>
                <w:sz w:val="24"/>
                <w:szCs w:val="24"/>
              </w:rPr>
              <w:t xml:space="preserve"> new sores need to be evaluated by a health care provider.</w:t>
            </w:r>
          </w:p>
        </w:tc>
      </w:tr>
      <w:tr w:rsidR="00634F51" w14:paraId="44DD7D24" w14:textId="77777777" w:rsidTr="005365F3">
        <w:tc>
          <w:tcPr>
            <w:tcW w:w="4675" w:type="dxa"/>
          </w:tcPr>
          <w:p w14:paraId="2B726117" w14:textId="77777777" w:rsidR="00634F51" w:rsidRDefault="00634F51" w:rsidP="00634F51">
            <w:pPr>
              <w:tabs>
                <w:tab w:val="left" w:pos="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  <w:p w14:paraId="5E037B7B" w14:textId="77777777" w:rsidR="00634F51" w:rsidRPr="00634F51" w:rsidRDefault="00634F51" w:rsidP="003722AF">
            <w:pPr>
              <w:tabs>
                <w:tab w:val="left" w:pos="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Symptoms that prevent the student from active participati</w:t>
            </w:r>
            <w:r w:rsidR="00064128">
              <w:rPr>
                <w:sz w:val="24"/>
                <w:szCs w:val="24"/>
              </w:rPr>
              <w:t>on in usual school activities or</w:t>
            </w:r>
            <w:r>
              <w:rPr>
                <w:sz w:val="24"/>
                <w:szCs w:val="24"/>
              </w:rPr>
              <w:t xml:space="preserve"> stud</w:t>
            </w:r>
            <w:r w:rsidR="003722AF">
              <w:rPr>
                <w:sz w:val="24"/>
                <w:szCs w:val="24"/>
              </w:rPr>
              <w:t xml:space="preserve">ent is requiring more care than </w:t>
            </w:r>
            <w:r>
              <w:rPr>
                <w:sz w:val="24"/>
                <w:szCs w:val="24"/>
              </w:rPr>
              <w:t>school can safely provide.</w:t>
            </w:r>
          </w:p>
        </w:tc>
        <w:tc>
          <w:tcPr>
            <w:tcW w:w="4675" w:type="dxa"/>
          </w:tcPr>
          <w:p w14:paraId="46A50C81" w14:textId="77777777" w:rsidR="00634F51" w:rsidRPr="003722AF" w:rsidRDefault="003722AF" w:rsidP="003722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Yes-</w:t>
            </w:r>
            <w:r>
              <w:rPr>
                <w:sz w:val="24"/>
                <w:szCs w:val="24"/>
              </w:rPr>
              <w:t>Recommendations from a health care provider are indicated.</w:t>
            </w:r>
          </w:p>
        </w:tc>
      </w:tr>
    </w:tbl>
    <w:p w14:paraId="0016A47A" w14:textId="77777777" w:rsidR="001D3D60" w:rsidRDefault="001D3D60" w:rsidP="003C6D39">
      <w:pPr>
        <w:rPr>
          <w:sz w:val="24"/>
          <w:szCs w:val="24"/>
        </w:rPr>
      </w:pPr>
    </w:p>
    <w:p w14:paraId="7FB079FD" w14:textId="77777777" w:rsidR="000A097A" w:rsidRDefault="000A097A" w:rsidP="003C6D39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E05F8E">
        <w:rPr>
          <w:sz w:val="24"/>
          <w:szCs w:val="24"/>
        </w:rPr>
        <w:t xml:space="preserve"> consult your doctor promptly if</w:t>
      </w:r>
      <w:r>
        <w:rPr>
          <w:sz w:val="24"/>
          <w:szCs w:val="24"/>
        </w:rPr>
        <w:t xml:space="preserve"> there is any doubt about the condition of your child.  Follow the directions from your child’s physician or school nurse</w:t>
      </w:r>
      <w:r w:rsidR="00E05F8E">
        <w:rPr>
          <w:sz w:val="24"/>
          <w:szCs w:val="24"/>
        </w:rPr>
        <w:t xml:space="preserve"> before returning to school.</w:t>
      </w:r>
    </w:p>
    <w:p w14:paraId="3044DC6B" w14:textId="77777777" w:rsidR="001D3D60" w:rsidRDefault="00E05F8E" w:rsidP="003C6D39">
      <w:pPr>
        <w:rPr>
          <w:sz w:val="24"/>
          <w:szCs w:val="24"/>
        </w:rPr>
      </w:pPr>
      <w:r>
        <w:rPr>
          <w:sz w:val="24"/>
          <w:szCs w:val="24"/>
        </w:rPr>
        <w:t xml:space="preserve">References: </w:t>
      </w:r>
    </w:p>
    <w:p w14:paraId="5CC8BF93" w14:textId="77777777" w:rsidR="001D3D60" w:rsidRDefault="00E05F8E" w:rsidP="001D3D60">
      <w:pPr>
        <w:pStyle w:val="NoSpacing"/>
      </w:pPr>
      <w:r>
        <w:t>National Institutes of Health</w:t>
      </w:r>
    </w:p>
    <w:p w14:paraId="1C6A47EA" w14:textId="77777777" w:rsidR="001D3D60" w:rsidRDefault="00E05F8E" w:rsidP="001D3D60">
      <w:pPr>
        <w:pStyle w:val="NoSpacing"/>
      </w:pPr>
      <w:r>
        <w:t xml:space="preserve">Centers for Disease Control and Prevention </w:t>
      </w:r>
    </w:p>
    <w:p w14:paraId="3455A9DC" w14:textId="77777777" w:rsidR="00E05F8E" w:rsidRDefault="00E05F8E" w:rsidP="001D3D60">
      <w:pPr>
        <w:pStyle w:val="NoSpacing"/>
      </w:pPr>
      <w:r>
        <w:t>December 2016</w:t>
      </w:r>
    </w:p>
    <w:p w14:paraId="55622C32" w14:textId="77777777" w:rsidR="000A097A" w:rsidRDefault="000A097A" w:rsidP="003C6D39">
      <w:pPr>
        <w:rPr>
          <w:sz w:val="24"/>
          <w:szCs w:val="24"/>
        </w:rPr>
      </w:pPr>
    </w:p>
    <w:p w14:paraId="32465ABF" w14:textId="77777777" w:rsidR="003722AF" w:rsidRDefault="003722AF" w:rsidP="003C6D39">
      <w:pPr>
        <w:rPr>
          <w:sz w:val="24"/>
          <w:szCs w:val="24"/>
        </w:rPr>
      </w:pPr>
    </w:p>
    <w:p w14:paraId="41DD19AD" w14:textId="77777777" w:rsidR="003722AF" w:rsidRPr="003C6D39" w:rsidRDefault="003722AF" w:rsidP="003C6D39">
      <w:pPr>
        <w:rPr>
          <w:sz w:val="24"/>
          <w:szCs w:val="24"/>
        </w:rPr>
      </w:pPr>
    </w:p>
    <w:sectPr w:rsidR="003722AF" w:rsidRPr="003C6D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5DEC" w14:textId="77777777" w:rsidR="004C0A54" w:rsidRDefault="004C0A54" w:rsidP="001D3D60">
      <w:pPr>
        <w:spacing w:after="0" w:line="240" w:lineRule="auto"/>
      </w:pPr>
      <w:r>
        <w:separator/>
      </w:r>
    </w:p>
  </w:endnote>
  <w:endnote w:type="continuationSeparator" w:id="0">
    <w:p w14:paraId="3C75BC0D" w14:textId="77777777" w:rsidR="004C0A54" w:rsidRDefault="004C0A54" w:rsidP="001D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FBB8" w14:textId="1EAB77A0" w:rsidR="001D3D60" w:rsidRDefault="005343BD" w:rsidP="005343BD">
    <w:pPr>
      <w:pStyle w:val="Footer"/>
      <w:jc w:val="right"/>
    </w:pPr>
    <w:r>
      <w:t>Updated 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FF99" w14:textId="77777777" w:rsidR="004C0A54" w:rsidRDefault="004C0A54" w:rsidP="001D3D60">
      <w:pPr>
        <w:spacing w:after="0" w:line="240" w:lineRule="auto"/>
      </w:pPr>
      <w:r>
        <w:separator/>
      </w:r>
    </w:p>
  </w:footnote>
  <w:footnote w:type="continuationSeparator" w:id="0">
    <w:p w14:paraId="19DECFA4" w14:textId="77777777" w:rsidR="004C0A54" w:rsidRDefault="004C0A54" w:rsidP="001D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39"/>
    <w:rsid w:val="000155DA"/>
    <w:rsid w:val="00036090"/>
    <w:rsid w:val="00054871"/>
    <w:rsid w:val="00064128"/>
    <w:rsid w:val="000A097A"/>
    <w:rsid w:val="00130E96"/>
    <w:rsid w:val="001D3D60"/>
    <w:rsid w:val="003722AF"/>
    <w:rsid w:val="00377ED8"/>
    <w:rsid w:val="003A4EC3"/>
    <w:rsid w:val="003C6D39"/>
    <w:rsid w:val="004B18A9"/>
    <w:rsid w:val="004C0A54"/>
    <w:rsid w:val="005343BD"/>
    <w:rsid w:val="005365F3"/>
    <w:rsid w:val="00634F51"/>
    <w:rsid w:val="006C2523"/>
    <w:rsid w:val="00750C90"/>
    <w:rsid w:val="00982688"/>
    <w:rsid w:val="00B41F79"/>
    <w:rsid w:val="00BE3475"/>
    <w:rsid w:val="00C079FC"/>
    <w:rsid w:val="00C43DFC"/>
    <w:rsid w:val="00C53E43"/>
    <w:rsid w:val="00CA3DB5"/>
    <w:rsid w:val="00CF550C"/>
    <w:rsid w:val="00D30A35"/>
    <w:rsid w:val="00D93B61"/>
    <w:rsid w:val="00DC7EDA"/>
    <w:rsid w:val="00E05F8E"/>
    <w:rsid w:val="00E4229F"/>
    <w:rsid w:val="00E61885"/>
    <w:rsid w:val="00E628FA"/>
    <w:rsid w:val="00EB6975"/>
    <w:rsid w:val="00F20A63"/>
    <w:rsid w:val="00F712C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2ACB"/>
  <w15:chartTrackingRefBased/>
  <w15:docId w15:val="{41BE7B4C-1CEF-4524-A164-DDD472E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3D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60"/>
  </w:style>
  <w:style w:type="paragraph" w:styleId="Footer">
    <w:name w:val="footer"/>
    <w:basedOn w:val="Normal"/>
    <w:link w:val="FooterChar"/>
    <w:uiPriority w:val="99"/>
    <w:unhideWhenUsed/>
    <w:rsid w:val="001D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Giardina</dc:creator>
  <cp:keywords/>
  <dc:description/>
  <cp:lastModifiedBy>Lori Bedsole</cp:lastModifiedBy>
  <cp:revision>2</cp:revision>
  <cp:lastPrinted>2021-08-02T12:29:00Z</cp:lastPrinted>
  <dcterms:created xsi:type="dcterms:W3CDTF">2021-08-02T12:30:00Z</dcterms:created>
  <dcterms:modified xsi:type="dcterms:W3CDTF">2021-08-02T12:30:00Z</dcterms:modified>
</cp:coreProperties>
</file>